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58B" w:rsidRDefault="000A758B" w:rsidP="000A758B">
      <w:pPr>
        <w:pStyle w:val="10"/>
        <w:shd w:val="clear" w:color="auto" w:fill="auto"/>
        <w:spacing w:line="240" w:lineRule="auto"/>
        <w:ind w:firstLine="709"/>
        <w:outlineLvl w:val="9"/>
      </w:pPr>
      <w:bookmarkStart w:id="0" w:name="bookmark10"/>
      <w:r>
        <w:t>4. Примерный перечень экзаменационных вопросов</w:t>
      </w:r>
      <w:bookmarkEnd w:id="0"/>
    </w:p>
    <w:p w:rsidR="000A758B" w:rsidRDefault="000A758B" w:rsidP="000A758B">
      <w:pPr>
        <w:pStyle w:val="4"/>
        <w:numPr>
          <w:ilvl w:val="0"/>
          <w:numId w:val="1"/>
        </w:numPr>
        <w:shd w:val="clear" w:color="auto" w:fill="auto"/>
        <w:spacing w:after="0" w:line="240" w:lineRule="auto"/>
        <w:ind w:firstLine="709"/>
      </w:pPr>
      <w:r>
        <w:t xml:space="preserve"> Задачи и назначение антенных устройств.</w:t>
      </w:r>
    </w:p>
    <w:p w:rsidR="000A758B" w:rsidRDefault="000A758B" w:rsidP="000A758B">
      <w:pPr>
        <w:pStyle w:val="4"/>
        <w:numPr>
          <w:ilvl w:val="0"/>
          <w:numId w:val="1"/>
        </w:numPr>
        <w:shd w:val="clear" w:color="auto" w:fill="auto"/>
        <w:spacing w:after="0" w:line="240" w:lineRule="auto"/>
        <w:ind w:firstLine="709"/>
      </w:pPr>
      <w:r>
        <w:t xml:space="preserve"> Основные технические характеристики антенн.</w:t>
      </w:r>
    </w:p>
    <w:p w:rsidR="000A758B" w:rsidRDefault="000A758B" w:rsidP="000A758B">
      <w:pPr>
        <w:pStyle w:val="4"/>
        <w:numPr>
          <w:ilvl w:val="0"/>
          <w:numId w:val="1"/>
        </w:numPr>
        <w:shd w:val="clear" w:color="auto" w:fill="auto"/>
        <w:spacing w:after="0" w:line="240" w:lineRule="auto"/>
        <w:ind w:firstLine="709"/>
      </w:pPr>
      <w:r>
        <w:t xml:space="preserve"> Диаграмма направленности.</w:t>
      </w:r>
    </w:p>
    <w:p w:rsidR="000A758B" w:rsidRDefault="000A758B" w:rsidP="000A758B">
      <w:pPr>
        <w:pStyle w:val="4"/>
        <w:numPr>
          <w:ilvl w:val="0"/>
          <w:numId w:val="1"/>
        </w:numPr>
        <w:shd w:val="clear" w:color="auto" w:fill="auto"/>
        <w:spacing w:after="0" w:line="240" w:lineRule="auto"/>
        <w:ind w:firstLine="709"/>
      </w:pPr>
      <w:r>
        <w:t xml:space="preserve"> Ширина диаграммы направленности.</w:t>
      </w:r>
    </w:p>
    <w:p w:rsidR="000A758B" w:rsidRDefault="000A758B" w:rsidP="000A758B">
      <w:pPr>
        <w:pStyle w:val="4"/>
        <w:numPr>
          <w:ilvl w:val="0"/>
          <w:numId w:val="1"/>
        </w:numPr>
        <w:shd w:val="clear" w:color="auto" w:fill="auto"/>
        <w:spacing w:after="0" w:line="240" w:lineRule="auto"/>
        <w:ind w:firstLine="709"/>
      </w:pPr>
      <w:r>
        <w:t xml:space="preserve"> Уровень боковых лепестков.</w:t>
      </w:r>
    </w:p>
    <w:p w:rsidR="000A758B" w:rsidRDefault="000A758B" w:rsidP="000A758B">
      <w:pPr>
        <w:pStyle w:val="4"/>
        <w:numPr>
          <w:ilvl w:val="0"/>
          <w:numId w:val="1"/>
        </w:numPr>
        <w:shd w:val="clear" w:color="auto" w:fill="auto"/>
        <w:spacing w:after="0" w:line="240" w:lineRule="auto"/>
        <w:ind w:firstLine="709"/>
      </w:pPr>
      <w:r>
        <w:t xml:space="preserve"> Коэффициент направленного действия.</w:t>
      </w:r>
    </w:p>
    <w:p w:rsidR="000A758B" w:rsidRDefault="000A758B" w:rsidP="000A758B">
      <w:pPr>
        <w:pStyle w:val="4"/>
        <w:numPr>
          <w:ilvl w:val="0"/>
          <w:numId w:val="1"/>
        </w:numPr>
        <w:shd w:val="clear" w:color="auto" w:fill="auto"/>
        <w:spacing w:after="0" w:line="240" w:lineRule="auto"/>
        <w:ind w:firstLine="709"/>
      </w:pPr>
      <w:r>
        <w:t xml:space="preserve"> Коэффициент усиления.</w:t>
      </w:r>
    </w:p>
    <w:p w:rsidR="000A758B" w:rsidRDefault="000A758B" w:rsidP="000A758B">
      <w:pPr>
        <w:pStyle w:val="4"/>
        <w:numPr>
          <w:ilvl w:val="0"/>
          <w:numId w:val="1"/>
        </w:numPr>
        <w:shd w:val="clear" w:color="auto" w:fill="auto"/>
        <w:spacing w:after="0" w:line="240" w:lineRule="auto"/>
        <w:ind w:firstLine="709"/>
      </w:pPr>
      <w:r>
        <w:t xml:space="preserve"> Входной импеданс антенны.</w:t>
      </w:r>
    </w:p>
    <w:p w:rsidR="000A758B" w:rsidRDefault="000A758B" w:rsidP="000A758B">
      <w:pPr>
        <w:pStyle w:val="4"/>
        <w:numPr>
          <w:ilvl w:val="0"/>
          <w:numId w:val="1"/>
        </w:numPr>
        <w:shd w:val="clear" w:color="auto" w:fill="auto"/>
        <w:spacing w:after="0" w:line="240" w:lineRule="auto"/>
        <w:ind w:firstLine="709"/>
      </w:pPr>
      <w:r>
        <w:t xml:space="preserve"> Общая классификация антенных устройств.</w:t>
      </w:r>
    </w:p>
    <w:p w:rsidR="000A758B" w:rsidRDefault="000A758B" w:rsidP="000A758B">
      <w:pPr>
        <w:pStyle w:val="4"/>
        <w:numPr>
          <w:ilvl w:val="0"/>
          <w:numId w:val="1"/>
        </w:numPr>
        <w:shd w:val="clear" w:color="auto" w:fill="auto"/>
        <w:spacing w:after="0" w:line="240" w:lineRule="auto"/>
        <w:ind w:firstLine="709"/>
      </w:pPr>
      <w:r>
        <w:t xml:space="preserve"> Уравнения Максвелла для свободных полей.</w:t>
      </w:r>
    </w:p>
    <w:p w:rsidR="000A758B" w:rsidRDefault="000A758B" w:rsidP="000A758B">
      <w:pPr>
        <w:pStyle w:val="4"/>
        <w:numPr>
          <w:ilvl w:val="0"/>
          <w:numId w:val="1"/>
        </w:numPr>
        <w:shd w:val="clear" w:color="auto" w:fill="auto"/>
        <w:spacing w:after="0" w:line="240" w:lineRule="auto"/>
        <w:ind w:firstLine="709"/>
      </w:pPr>
      <w:r>
        <w:t xml:space="preserve"> Уравнения Максвелла для возбужденных полей.</w:t>
      </w:r>
    </w:p>
    <w:p w:rsidR="000A758B" w:rsidRDefault="000A758B" w:rsidP="000A758B">
      <w:pPr>
        <w:pStyle w:val="4"/>
        <w:numPr>
          <w:ilvl w:val="0"/>
          <w:numId w:val="1"/>
        </w:numPr>
        <w:shd w:val="clear" w:color="auto" w:fill="auto"/>
        <w:spacing w:after="0" w:line="240" w:lineRule="auto"/>
        <w:ind w:firstLine="709"/>
      </w:pPr>
      <w:r>
        <w:t xml:space="preserve"> Волновые уравнения.</w:t>
      </w:r>
    </w:p>
    <w:p w:rsidR="000A758B" w:rsidRDefault="000A758B" w:rsidP="000A758B">
      <w:pPr>
        <w:pStyle w:val="4"/>
        <w:numPr>
          <w:ilvl w:val="0"/>
          <w:numId w:val="1"/>
        </w:numPr>
        <w:shd w:val="clear" w:color="auto" w:fill="auto"/>
        <w:spacing w:after="0" w:line="240" w:lineRule="auto"/>
        <w:ind w:firstLine="709"/>
      </w:pPr>
      <w:r>
        <w:t xml:space="preserve"> Граничные условия для идеального проводника.</w:t>
      </w:r>
    </w:p>
    <w:p w:rsidR="000A758B" w:rsidRDefault="000A758B" w:rsidP="000A758B">
      <w:pPr>
        <w:pStyle w:val="4"/>
        <w:numPr>
          <w:ilvl w:val="0"/>
          <w:numId w:val="1"/>
        </w:numPr>
        <w:shd w:val="clear" w:color="auto" w:fill="auto"/>
        <w:spacing w:after="0" w:line="240" w:lineRule="auto"/>
        <w:ind w:firstLine="709"/>
      </w:pPr>
      <w:r>
        <w:t xml:space="preserve"> Электродинамические потенциалы.</w:t>
      </w:r>
    </w:p>
    <w:p w:rsidR="000A758B" w:rsidRDefault="000A758B" w:rsidP="000A758B">
      <w:pPr>
        <w:pStyle w:val="4"/>
        <w:numPr>
          <w:ilvl w:val="0"/>
          <w:numId w:val="1"/>
        </w:numPr>
        <w:shd w:val="clear" w:color="auto" w:fill="auto"/>
        <w:spacing w:after="0" w:line="240" w:lineRule="auto"/>
        <w:ind w:firstLine="709"/>
      </w:pPr>
      <w:r>
        <w:t xml:space="preserve"> Векторный и скалярный потенциал электрического поля.</w:t>
      </w:r>
    </w:p>
    <w:p w:rsidR="000A758B" w:rsidRDefault="000A758B" w:rsidP="000A758B">
      <w:pPr>
        <w:pStyle w:val="4"/>
        <w:numPr>
          <w:ilvl w:val="0"/>
          <w:numId w:val="1"/>
        </w:numPr>
        <w:shd w:val="clear" w:color="auto" w:fill="auto"/>
        <w:spacing w:after="0" w:line="240" w:lineRule="auto"/>
        <w:ind w:firstLine="709"/>
      </w:pPr>
      <w:r>
        <w:t xml:space="preserve"> Векторный и скалярный потенциал магнитного поля.</w:t>
      </w:r>
    </w:p>
    <w:p w:rsidR="000A758B" w:rsidRDefault="000A758B" w:rsidP="000A758B">
      <w:pPr>
        <w:pStyle w:val="4"/>
        <w:numPr>
          <w:ilvl w:val="0"/>
          <w:numId w:val="1"/>
        </w:numPr>
        <w:shd w:val="clear" w:color="auto" w:fill="auto"/>
        <w:spacing w:after="0" w:line="240" w:lineRule="auto"/>
        <w:ind w:firstLine="709"/>
      </w:pPr>
      <w:r>
        <w:t xml:space="preserve"> Уравнения Максвелла в комплексной форме записи.</w:t>
      </w:r>
    </w:p>
    <w:p w:rsidR="000A758B" w:rsidRDefault="000A758B" w:rsidP="000A758B">
      <w:pPr>
        <w:pStyle w:val="4"/>
        <w:numPr>
          <w:ilvl w:val="0"/>
          <w:numId w:val="1"/>
        </w:numPr>
        <w:shd w:val="clear" w:color="auto" w:fill="auto"/>
        <w:spacing w:after="0" w:line="240" w:lineRule="auto"/>
        <w:ind w:firstLine="709"/>
      </w:pPr>
      <w:r>
        <w:t xml:space="preserve"> При</w:t>
      </w:r>
      <w:r>
        <w:rPr>
          <w:rStyle w:val="2"/>
        </w:rPr>
        <w:t>нци</w:t>
      </w:r>
      <w:r>
        <w:t xml:space="preserve">п </w:t>
      </w:r>
      <w:proofErr w:type="spellStart"/>
      <w:r>
        <w:t>перестановочной</w:t>
      </w:r>
      <w:proofErr w:type="spellEnd"/>
      <w:r>
        <w:t xml:space="preserve"> двойственности </w:t>
      </w:r>
      <w:proofErr w:type="spellStart"/>
      <w:r>
        <w:t>А.А.Пистолькорса</w:t>
      </w:r>
      <w:proofErr w:type="spellEnd"/>
      <w:r>
        <w:t>.</w:t>
      </w:r>
    </w:p>
    <w:p w:rsidR="000A758B" w:rsidRDefault="000A758B" w:rsidP="000A758B">
      <w:pPr>
        <w:pStyle w:val="4"/>
        <w:numPr>
          <w:ilvl w:val="0"/>
          <w:numId w:val="1"/>
        </w:numPr>
        <w:shd w:val="clear" w:color="auto" w:fill="auto"/>
        <w:spacing w:after="0" w:line="240" w:lineRule="auto"/>
        <w:ind w:firstLine="709"/>
      </w:pPr>
      <w:r>
        <w:t xml:space="preserve"> Векторные потенциалы в комплексной форме записи.</w:t>
      </w:r>
    </w:p>
    <w:p w:rsidR="000A758B" w:rsidRDefault="000A758B" w:rsidP="000A758B">
      <w:pPr>
        <w:pStyle w:val="4"/>
        <w:numPr>
          <w:ilvl w:val="0"/>
          <w:numId w:val="1"/>
        </w:numPr>
        <w:shd w:val="clear" w:color="auto" w:fill="auto"/>
        <w:spacing w:after="0" w:line="240" w:lineRule="auto"/>
        <w:ind w:firstLine="709"/>
      </w:pPr>
      <w:r>
        <w:t xml:space="preserve"> Однородные комплексные волновые уравнения Гельмгольца.</w:t>
      </w:r>
    </w:p>
    <w:p w:rsidR="000A758B" w:rsidRDefault="000A758B" w:rsidP="000A758B">
      <w:pPr>
        <w:pStyle w:val="4"/>
        <w:numPr>
          <w:ilvl w:val="0"/>
          <w:numId w:val="1"/>
        </w:numPr>
        <w:shd w:val="clear" w:color="auto" w:fill="auto"/>
        <w:spacing w:after="0" w:line="240" w:lineRule="auto"/>
        <w:ind w:firstLine="709"/>
      </w:pPr>
      <w:r>
        <w:t xml:space="preserve"> Неоднородные комплексные волновые уравнения Гельмгольца.</w:t>
      </w:r>
    </w:p>
    <w:p w:rsidR="000A758B" w:rsidRDefault="000A758B" w:rsidP="000A758B">
      <w:pPr>
        <w:pStyle w:val="4"/>
        <w:numPr>
          <w:ilvl w:val="0"/>
          <w:numId w:val="1"/>
        </w:numPr>
        <w:shd w:val="clear" w:color="auto" w:fill="auto"/>
        <w:spacing w:after="0" w:line="240" w:lineRule="auto"/>
        <w:ind w:firstLine="709"/>
      </w:pPr>
      <w:r>
        <w:t xml:space="preserve"> Комплексный коэффициент распространения волны.</w:t>
      </w:r>
    </w:p>
    <w:p w:rsidR="000A758B" w:rsidRDefault="000A758B" w:rsidP="000A758B">
      <w:pPr>
        <w:pStyle w:val="4"/>
        <w:numPr>
          <w:ilvl w:val="0"/>
          <w:numId w:val="1"/>
        </w:numPr>
        <w:shd w:val="clear" w:color="auto" w:fill="auto"/>
        <w:spacing w:after="0" w:line="240" w:lineRule="auto"/>
        <w:ind w:firstLine="709"/>
      </w:pPr>
      <w:r>
        <w:t xml:space="preserve"> Коэффициенты фазы и затухания. Фазовая скорость волны.</w:t>
      </w:r>
    </w:p>
    <w:p w:rsidR="000A758B" w:rsidRDefault="000A758B" w:rsidP="000A758B">
      <w:pPr>
        <w:pStyle w:val="4"/>
        <w:numPr>
          <w:ilvl w:val="0"/>
          <w:numId w:val="1"/>
        </w:numPr>
        <w:shd w:val="clear" w:color="auto" w:fill="auto"/>
        <w:spacing w:after="0" w:line="240" w:lineRule="auto"/>
        <w:ind w:firstLine="709"/>
      </w:pPr>
      <w:r>
        <w:t xml:space="preserve"> Возбуждение свободного пространства сторонними токами.</w:t>
      </w:r>
    </w:p>
    <w:p w:rsidR="000A758B" w:rsidRDefault="000A758B" w:rsidP="000A758B">
      <w:pPr>
        <w:pStyle w:val="4"/>
        <w:numPr>
          <w:ilvl w:val="0"/>
          <w:numId w:val="1"/>
        </w:numPr>
        <w:shd w:val="clear" w:color="auto" w:fill="auto"/>
        <w:spacing w:after="0" w:line="240" w:lineRule="auto"/>
        <w:ind w:firstLine="709"/>
      </w:pPr>
      <w:r>
        <w:t xml:space="preserve"> Объемное, поверхностное и линейное распределение токов в антеннах.</w:t>
      </w:r>
    </w:p>
    <w:p w:rsidR="000A758B" w:rsidRDefault="000A758B" w:rsidP="000A758B">
      <w:pPr>
        <w:pStyle w:val="4"/>
        <w:numPr>
          <w:ilvl w:val="0"/>
          <w:numId w:val="1"/>
        </w:numPr>
        <w:shd w:val="clear" w:color="auto" w:fill="auto"/>
        <w:spacing w:after="0" w:line="240" w:lineRule="auto"/>
        <w:ind w:firstLine="709"/>
      </w:pPr>
      <w:r>
        <w:t xml:space="preserve"> Точечные источники возбуждения волн и уравнение функции Грина.</w:t>
      </w:r>
    </w:p>
    <w:p w:rsidR="000A758B" w:rsidRDefault="000A758B" w:rsidP="000A758B">
      <w:pPr>
        <w:pStyle w:val="4"/>
        <w:numPr>
          <w:ilvl w:val="0"/>
          <w:numId w:val="1"/>
        </w:numPr>
        <w:shd w:val="clear" w:color="auto" w:fill="auto"/>
        <w:spacing w:after="0" w:line="240" w:lineRule="auto"/>
        <w:ind w:firstLine="709"/>
      </w:pPr>
      <w:r>
        <w:t xml:space="preserve"> Функция Грина неограниченного свободного пространства.</w:t>
      </w:r>
    </w:p>
    <w:p w:rsidR="000A758B" w:rsidRDefault="000A758B" w:rsidP="000A758B">
      <w:pPr>
        <w:pStyle w:val="4"/>
        <w:numPr>
          <w:ilvl w:val="0"/>
          <w:numId w:val="1"/>
        </w:numPr>
        <w:shd w:val="clear" w:color="auto" w:fill="auto"/>
        <w:spacing w:after="0" w:line="240" w:lineRule="auto"/>
        <w:ind w:firstLine="709"/>
      </w:pPr>
      <w:r>
        <w:t xml:space="preserve"> Элементарный электрический диполь Герца и его характеристики.</w:t>
      </w:r>
    </w:p>
    <w:p w:rsidR="000A758B" w:rsidRDefault="000A758B" w:rsidP="000A758B">
      <w:pPr>
        <w:pStyle w:val="4"/>
        <w:numPr>
          <w:ilvl w:val="0"/>
          <w:numId w:val="1"/>
        </w:numPr>
        <w:shd w:val="clear" w:color="auto" w:fill="auto"/>
        <w:spacing w:after="0" w:line="240" w:lineRule="auto"/>
        <w:ind w:firstLine="709"/>
      </w:pPr>
      <w:r>
        <w:t xml:space="preserve"> Мощность и сопротивление излучения электрического диполя Герца.</w:t>
      </w:r>
    </w:p>
    <w:p w:rsidR="000A758B" w:rsidRDefault="000A758B" w:rsidP="000A758B">
      <w:pPr>
        <w:pStyle w:val="4"/>
        <w:numPr>
          <w:ilvl w:val="0"/>
          <w:numId w:val="1"/>
        </w:numPr>
        <w:shd w:val="clear" w:color="auto" w:fill="auto"/>
        <w:spacing w:after="0" w:line="240" w:lineRule="auto"/>
        <w:ind w:firstLine="709"/>
      </w:pPr>
      <w:r>
        <w:t xml:space="preserve"> Элементарный магнитный диполь Герца и его характеристики.</w:t>
      </w:r>
    </w:p>
    <w:p w:rsidR="000A758B" w:rsidRDefault="000A758B" w:rsidP="000A758B">
      <w:pPr>
        <w:pStyle w:val="4"/>
        <w:numPr>
          <w:ilvl w:val="0"/>
          <w:numId w:val="1"/>
        </w:numPr>
        <w:shd w:val="clear" w:color="auto" w:fill="auto"/>
        <w:spacing w:after="0" w:line="240" w:lineRule="auto"/>
        <w:ind w:firstLine="709"/>
      </w:pPr>
      <w:r>
        <w:t xml:space="preserve"> Мощность и сопротивление излучения магнитного диполя </w:t>
      </w:r>
      <w:proofErr w:type="gramStart"/>
      <w:r>
        <w:t xml:space="preserve">Г </w:t>
      </w:r>
      <w:proofErr w:type="spellStart"/>
      <w:r>
        <w:t>ерца</w:t>
      </w:r>
      <w:proofErr w:type="spellEnd"/>
      <w:proofErr w:type="gramEnd"/>
      <w:r>
        <w:t>.</w:t>
      </w:r>
    </w:p>
    <w:p w:rsidR="000A758B" w:rsidRDefault="000A758B" w:rsidP="000A758B">
      <w:pPr>
        <w:pStyle w:val="4"/>
        <w:numPr>
          <w:ilvl w:val="0"/>
          <w:numId w:val="1"/>
        </w:numPr>
        <w:shd w:val="clear" w:color="auto" w:fill="auto"/>
        <w:spacing w:after="0" w:line="240" w:lineRule="auto"/>
        <w:ind w:firstLine="709"/>
      </w:pPr>
      <w:r>
        <w:t xml:space="preserve"> Представление и объяснение магнитного тока.</w:t>
      </w:r>
    </w:p>
    <w:p w:rsidR="000A758B" w:rsidRDefault="000A758B" w:rsidP="000A758B">
      <w:pPr>
        <w:pStyle w:val="4"/>
        <w:numPr>
          <w:ilvl w:val="0"/>
          <w:numId w:val="1"/>
        </w:numPr>
        <w:shd w:val="clear" w:color="auto" w:fill="auto"/>
        <w:spacing w:after="0" w:line="240" w:lineRule="auto"/>
        <w:ind w:firstLine="709"/>
      </w:pPr>
      <w:r>
        <w:t xml:space="preserve"> Распределение токов и зарядов вдоль симметричного вибратора.</w:t>
      </w:r>
    </w:p>
    <w:p w:rsidR="000A758B" w:rsidRDefault="000A758B" w:rsidP="000A758B">
      <w:pPr>
        <w:pStyle w:val="4"/>
        <w:numPr>
          <w:ilvl w:val="0"/>
          <w:numId w:val="1"/>
        </w:numPr>
        <w:shd w:val="clear" w:color="auto" w:fill="auto"/>
        <w:spacing w:after="0" w:line="240" w:lineRule="auto"/>
        <w:ind w:firstLine="709"/>
      </w:pPr>
      <w:r>
        <w:t xml:space="preserve"> Электромагнитное поле в дальней зоне симметричного вибратора.</w:t>
      </w:r>
    </w:p>
    <w:p w:rsidR="000A758B" w:rsidRDefault="000A758B" w:rsidP="000A758B">
      <w:pPr>
        <w:pStyle w:val="4"/>
        <w:numPr>
          <w:ilvl w:val="0"/>
          <w:numId w:val="1"/>
        </w:numPr>
        <w:shd w:val="clear" w:color="auto" w:fill="auto"/>
        <w:spacing w:after="0" w:line="240" w:lineRule="auto"/>
        <w:ind w:firstLine="709"/>
      </w:pPr>
      <w:r>
        <w:t xml:space="preserve"> Формула диаграммы направленности симметричного вибратора.</w:t>
      </w:r>
    </w:p>
    <w:p w:rsidR="000A758B" w:rsidRDefault="000A758B" w:rsidP="000A758B">
      <w:pPr>
        <w:pStyle w:val="4"/>
        <w:numPr>
          <w:ilvl w:val="0"/>
          <w:numId w:val="1"/>
        </w:numPr>
        <w:shd w:val="clear" w:color="auto" w:fill="auto"/>
        <w:spacing w:after="0" w:line="240" w:lineRule="auto"/>
        <w:ind w:firstLine="709"/>
      </w:pPr>
      <w:r>
        <w:t xml:space="preserve"> Направленные свойства вибратора от распределения тока по его длине.</w:t>
      </w:r>
    </w:p>
    <w:p w:rsidR="000A758B" w:rsidRDefault="000A758B" w:rsidP="000A758B">
      <w:pPr>
        <w:pStyle w:val="4"/>
        <w:numPr>
          <w:ilvl w:val="0"/>
          <w:numId w:val="1"/>
        </w:numPr>
        <w:shd w:val="clear" w:color="auto" w:fill="auto"/>
        <w:spacing w:after="0" w:line="240" w:lineRule="auto"/>
        <w:ind w:firstLine="709"/>
      </w:pPr>
      <w:r>
        <w:t xml:space="preserve"> Сопротивление излучения вибратора от распределения тока по длине.</w:t>
      </w:r>
    </w:p>
    <w:p w:rsidR="000A758B" w:rsidRDefault="000A758B" w:rsidP="000A758B">
      <w:pPr>
        <w:pStyle w:val="4"/>
        <w:numPr>
          <w:ilvl w:val="0"/>
          <w:numId w:val="1"/>
        </w:numPr>
        <w:shd w:val="clear" w:color="auto" w:fill="auto"/>
        <w:spacing w:after="0" w:line="240" w:lineRule="auto"/>
        <w:ind w:firstLine="709"/>
      </w:pPr>
      <w:r>
        <w:t xml:space="preserve"> Влияние металлического экрана на излучение вибратора.</w:t>
      </w:r>
    </w:p>
    <w:p w:rsidR="000A758B" w:rsidRDefault="000A758B" w:rsidP="000A758B">
      <w:pPr>
        <w:pStyle w:val="4"/>
        <w:numPr>
          <w:ilvl w:val="0"/>
          <w:numId w:val="1"/>
        </w:numPr>
        <w:shd w:val="clear" w:color="auto" w:fill="auto"/>
        <w:spacing w:after="0" w:line="240" w:lineRule="auto"/>
        <w:ind w:firstLine="709"/>
      </w:pPr>
      <w:r>
        <w:t xml:space="preserve"> Влияние поверхности земли на диаграмму направленности вибратора.</w:t>
      </w:r>
    </w:p>
    <w:p w:rsidR="000A758B" w:rsidRDefault="000A758B" w:rsidP="000A758B">
      <w:pPr>
        <w:pStyle w:val="4"/>
        <w:numPr>
          <w:ilvl w:val="0"/>
          <w:numId w:val="1"/>
        </w:numPr>
        <w:shd w:val="clear" w:color="auto" w:fill="auto"/>
        <w:spacing w:after="0" w:line="240" w:lineRule="auto"/>
        <w:ind w:firstLine="709"/>
      </w:pPr>
      <w:r>
        <w:t xml:space="preserve"> Настройка симметричных вибраторных антенн.</w:t>
      </w:r>
    </w:p>
    <w:p w:rsidR="000A758B" w:rsidRDefault="000A758B" w:rsidP="000A758B">
      <w:pPr>
        <w:pStyle w:val="4"/>
        <w:numPr>
          <w:ilvl w:val="0"/>
          <w:numId w:val="1"/>
        </w:numPr>
        <w:shd w:val="clear" w:color="auto" w:fill="auto"/>
        <w:spacing w:after="0" w:line="240" w:lineRule="auto"/>
        <w:ind w:firstLine="709"/>
      </w:pPr>
      <w:r>
        <w:t xml:space="preserve"> Конструкции </w:t>
      </w:r>
      <w:proofErr w:type="gramStart"/>
      <w:r>
        <w:t>симметричного</w:t>
      </w:r>
      <w:proofErr w:type="gramEnd"/>
      <w:r>
        <w:t xml:space="preserve"> и несимметричного вибраторных антенн.</w:t>
      </w:r>
    </w:p>
    <w:p w:rsidR="000A758B" w:rsidRDefault="000A758B" w:rsidP="000A758B">
      <w:pPr>
        <w:pStyle w:val="4"/>
        <w:numPr>
          <w:ilvl w:val="0"/>
          <w:numId w:val="1"/>
        </w:numPr>
        <w:shd w:val="clear" w:color="auto" w:fill="auto"/>
        <w:spacing w:after="0" w:line="240" w:lineRule="auto"/>
        <w:ind w:firstLine="709"/>
      </w:pPr>
      <w:r>
        <w:t xml:space="preserve"> Конструкции магнитных (щелевых) вибраторных антенн.</w:t>
      </w:r>
    </w:p>
    <w:p w:rsidR="00190DC7" w:rsidRDefault="00190DC7"/>
    <w:sectPr w:rsidR="00190DC7" w:rsidSect="00190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47A13"/>
    <w:multiLevelType w:val="multilevel"/>
    <w:tmpl w:val="DB5879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758B"/>
    <w:rsid w:val="000A758B"/>
    <w:rsid w:val="00190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0A758B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character" w:customStyle="1" w:styleId="a3">
    <w:name w:val="Основной текст_"/>
    <w:basedOn w:val="a0"/>
    <w:link w:val="4"/>
    <w:rsid w:val="000A758B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2">
    <w:name w:val="Основной текст2"/>
    <w:basedOn w:val="a3"/>
    <w:rsid w:val="000A758B"/>
    <w:rPr>
      <w:color w:val="00000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rsid w:val="000A758B"/>
    <w:pPr>
      <w:widowControl w:val="0"/>
      <w:shd w:val="clear" w:color="auto" w:fill="FFFFFF"/>
      <w:spacing w:after="0" w:line="317" w:lineRule="exact"/>
      <w:jc w:val="both"/>
      <w:outlineLvl w:val="0"/>
    </w:pPr>
    <w:rPr>
      <w:rFonts w:ascii="Times New Roman" w:eastAsia="Times New Roman" w:hAnsi="Times New Roman" w:cs="Times New Roman"/>
      <w:b/>
      <w:bCs/>
      <w:spacing w:val="1"/>
    </w:rPr>
  </w:style>
  <w:style w:type="paragraph" w:customStyle="1" w:styleId="4">
    <w:name w:val="Основной текст4"/>
    <w:basedOn w:val="a"/>
    <w:link w:val="a3"/>
    <w:rsid w:val="000A758B"/>
    <w:pPr>
      <w:widowControl w:val="0"/>
      <w:shd w:val="clear" w:color="auto" w:fill="FFFFFF"/>
      <w:spacing w:after="300" w:line="317" w:lineRule="exact"/>
      <w:jc w:val="both"/>
    </w:pPr>
    <w:rPr>
      <w:rFonts w:ascii="Times New Roman" w:eastAsia="Times New Roman" w:hAnsi="Times New Roman" w:cs="Times New Roman"/>
      <w:spacing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SuperUser</dc:creator>
  <cp:lastModifiedBy>SuperUser</cp:lastModifiedBy>
  <cp:revision>1</cp:revision>
  <dcterms:created xsi:type="dcterms:W3CDTF">2016-09-12T18:27:00Z</dcterms:created>
  <dcterms:modified xsi:type="dcterms:W3CDTF">2016-09-12T18:28:00Z</dcterms:modified>
</cp:coreProperties>
</file>